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30C" w:rsidRDefault="009A01C7">
      <w:bookmarkStart w:id="0" w:name="_GoBack"/>
      <w:bookmarkEnd w:id="0"/>
      <w:r>
        <w:t>Nancy Brashers</w:t>
      </w:r>
    </w:p>
    <w:p w:rsidR="009A01C7" w:rsidRDefault="009A01C7">
      <w:r>
        <w:t>Statistics 7170</w:t>
      </w:r>
    </w:p>
    <w:p w:rsidR="00431CFE" w:rsidRDefault="00431CFE">
      <w:r>
        <w:t>July 1, 2013</w:t>
      </w:r>
    </w:p>
    <w:p w:rsidR="00431CFE" w:rsidRDefault="00C87BBF">
      <w:r>
        <w:tab/>
        <w:t xml:space="preserve">The first example is in </w:t>
      </w:r>
      <w:r w:rsidRPr="00C87BBF">
        <w:rPr>
          <w:b/>
        </w:rPr>
        <w:t>C</w:t>
      </w:r>
      <w:r w:rsidR="009E308C" w:rsidRPr="00C87BBF">
        <w:rPr>
          <w:b/>
        </w:rPr>
        <w:t>hapter 3</w:t>
      </w:r>
      <w:r w:rsidR="009E308C">
        <w:t xml:space="preserve"> and deals with mean, median, mode, and midrange for given sample data.  These tools are used to analyze data in discussing different measures of center. Also, you should decide if the data given is helpful in determining if it represents the total population.</w:t>
      </w:r>
    </w:p>
    <w:p w:rsidR="009E308C" w:rsidRDefault="009E308C">
      <w:r>
        <w:tab/>
        <w:t xml:space="preserve">Listed below are the top 10 salaries </w:t>
      </w:r>
      <w:r w:rsidR="00973190">
        <w:t xml:space="preserve">(in millions of dollars) </w:t>
      </w:r>
      <w:r>
        <w:t xml:space="preserve">of the St. Louis Cardinals players taken from the ESPN site </w:t>
      </w:r>
      <w:hyperlink r:id="rId4" w:history="1">
        <w:r w:rsidRPr="00EF74AF">
          <w:rPr>
            <w:rStyle w:val="Hyperlink"/>
          </w:rPr>
          <w:t>http://espn.go.com/mlb/team/salaries/_/name/stl/st-louis-cardinals</w:t>
        </w:r>
      </w:hyperlink>
      <w:r>
        <w:t xml:space="preserve"> :</w:t>
      </w:r>
    </w:p>
    <w:tbl>
      <w:tblPr>
        <w:tblW w:w="0" w:type="auto"/>
        <w:tblCellSpacing w:w="7" w:type="dxa"/>
        <w:tblCellMar>
          <w:top w:w="45" w:type="dxa"/>
          <w:left w:w="45" w:type="dxa"/>
          <w:bottom w:w="45" w:type="dxa"/>
          <w:right w:w="45" w:type="dxa"/>
        </w:tblCellMar>
        <w:tblLook w:val="04A0" w:firstRow="1" w:lastRow="0" w:firstColumn="1" w:lastColumn="0" w:noHBand="0" w:noVBand="1"/>
      </w:tblPr>
      <w:tblGrid>
        <w:gridCol w:w="294"/>
        <w:gridCol w:w="1428"/>
        <w:gridCol w:w="634"/>
      </w:tblGrid>
      <w:tr w:rsidR="00973190" w:rsidRPr="003D6817" w:rsidTr="00973190">
        <w:trPr>
          <w:tblCellSpacing w:w="7" w:type="dxa"/>
        </w:trPr>
        <w:tc>
          <w:tcPr>
            <w:tcW w:w="0" w:type="auto"/>
            <w:vAlign w:val="center"/>
            <w:hideMark/>
          </w:tcPr>
          <w:p w:rsidR="00973190" w:rsidRPr="003D6817" w:rsidRDefault="00973190">
            <w:pPr>
              <w:rPr>
                <w:sz w:val="18"/>
                <w:szCs w:val="18"/>
              </w:rPr>
            </w:pPr>
            <w:r w:rsidRPr="003D6817">
              <w:rPr>
                <w:sz w:val="18"/>
                <w:szCs w:val="18"/>
              </w:rPr>
              <w:t>1</w:t>
            </w:r>
          </w:p>
        </w:tc>
        <w:tc>
          <w:tcPr>
            <w:tcW w:w="0" w:type="auto"/>
            <w:vAlign w:val="center"/>
            <w:hideMark/>
          </w:tcPr>
          <w:p w:rsidR="00973190" w:rsidRPr="003D6817" w:rsidRDefault="00383DAC">
            <w:pPr>
              <w:rPr>
                <w:sz w:val="18"/>
                <w:szCs w:val="18"/>
              </w:rPr>
            </w:pPr>
            <w:hyperlink r:id="rId5" w:history="1">
              <w:r w:rsidR="00973190" w:rsidRPr="003D6817">
                <w:rPr>
                  <w:rStyle w:val="Hyperlink"/>
                  <w:sz w:val="18"/>
                  <w:szCs w:val="18"/>
                </w:rPr>
                <w:t>Matt Holliday</w:t>
              </w:r>
            </w:hyperlink>
          </w:p>
        </w:tc>
        <w:tc>
          <w:tcPr>
            <w:tcW w:w="0" w:type="auto"/>
            <w:vAlign w:val="center"/>
            <w:hideMark/>
          </w:tcPr>
          <w:p w:rsidR="00973190" w:rsidRPr="003D6817" w:rsidRDefault="00973190">
            <w:pPr>
              <w:jc w:val="right"/>
              <w:rPr>
                <w:sz w:val="18"/>
                <w:szCs w:val="18"/>
              </w:rPr>
            </w:pPr>
            <w:r w:rsidRPr="003D6817">
              <w:rPr>
                <w:sz w:val="18"/>
                <w:szCs w:val="18"/>
              </w:rPr>
              <w:t xml:space="preserve">     16.3</w:t>
            </w:r>
          </w:p>
        </w:tc>
      </w:tr>
      <w:tr w:rsidR="00973190" w:rsidRPr="003D6817" w:rsidTr="00973190">
        <w:trPr>
          <w:tblCellSpacing w:w="7" w:type="dxa"/>
        </w:trPr>
        <w:tc>
          <w:tcPr>
            <w:tcW w:w="0" w:type="auto"/>
            <w:vAlign w:val="center"/>
            <w:hideMark/>
          </w:tcPr>
          <w:p w:rsidR="00973190" w:rsidRPr="003D6817" w:rsidRDefault="00973190">
            <w:pPr>
              <w:rPr>
                <w:sz w:val="18"/>
                <w:szCs w:val="18"/>
              </w:rPr>
            </w:pPr>
            <w:r w:rsidRPr="003D6817">
              <w:rPr>
                <w:sz w:val="18"/>
                <w:szCs w:val="18"/>
              </w:rPr>
              <w:t>2</w:t>
            </w:r>
          </w:p>
        </w:tc>
        <w:tc>
          <w:tcPr>
            <w:tcW w:w="0" w:type="auto"/>
            <w:vAlign w:val="center"/>
            <w:hideMark/>
          </w:tcPr>
          <w:p w:rsidR="00973190" w:rsidRPr="003D6817" w:rsidRDefault="00383DAC">
            <w:pPr>
              <w:rPr>
                <w:sz w:val="18"/>
                <w:szCs w:val="18"/>
              </w:rPr>
            </w:pPr>
            <w:hyperlink r:id="rId6" w:history="1">
              <w:r w:rsidR="00973190" w:rsidRPr="003D6817">
                <w:rPr>
                  <w:rStyle w:val="Hyperlink"/>
                  <w:sz w:val="18"/>
                  <w:szCs w:val="18"/>
                </w:rPr>
                <w:t>Yadier Molina</w:t>
              </w:r>
            </w:hyperlink>
          </w:p>
        </w:tc>
        <w:tc>
          <w:tcPr>
            <w:tcW w:w="0" w:type="auto"/>
            <w:vAlign w:val="center"/>
            <w:hideMark/>
          </w:tcPr>
          <w:p w:rsidR="00973190" w:rsidRPr="003D6817" w:rsidRDefault="00973190">
            <w:pPr>
              <w:jc w:val="right"/>
              <w:rPr>
                <w:sz w:val="18"/>
                <w:szCs w:val="18"/>
              </w:rPr>
            </w:pPr>
            <w:r w:rsidRPr="003D6817">
              <w:rPr>
                <w:sz w:val="18"/>
                <w:szCs w:val="18"/>
              </w:rPr>
              <w:t>14.2</w:t>
            </w:r>
          </w:p>
        </w:tc>
      </w:tr>
      <w:tr w:rsidR="00973190" w:rsidRPr="003D6817" w:rsidTr="00973190">
        <w:trPr>
          <w:tblCellSpacing w:w="7" w:type="dxa"/>
        </w:trPr>
        <w:tc>
          <w:tcPr>
            <w:tcW w:w="0" w:type="auto"/>
            <w:vAlign w:val="center"/>
            <w:hideMark/>
          </w:tcPr>
          <w:p w:rsidR="00973190" w:rsidRPr="003D6817" w:rsidRDefault="00973190">
            <w:pPr>
              <w:rPr>
                <w:sz w:val="18"/>
                <w:szCs w:val="18"/>
              </w:rPr>
            </w:pPr>
            <w:r w:rsidRPr="003D6817">
              <w:rPr>
                <w:sz w:val="18"/>
                <w:szCs w:val="18"/>
              </w:rPr>
              <w:t>3</w:t>
            </w:r>
          </w:p>
        </w:tc>
        <w:tc>
          <w:tcPr>
            <w:tcW w:w="0" w:type="auto"/>
            <w:vAlign w:val="center"/>
            <w:hideMark/>
          </w:tcPr>
          <w:p w:rsidR="00973190" w:rsidRPr="003D6817" w:rsidRDefault="00383DAC">
            <w:pPr>
              <w:rPr>
                <w:sz w:val="18"/>
                <w:szCs w:val="18"/>
              </w:rPr>
            </w:pPr>
            <w:hyperlink r:id="rId7" w:history="1">
              <w:r w:rsidR="00973190" w:rsidRPr="003D6817">
                <w:rPr>
                  <w:rStyle w:val="Hyperlink"/>
                  <w:sz w:val="18"/>
                  <w:szCs w:val="18"/>
                </w:rPr>
                <w:t>Carlos Beltran</w:t>
              </w:r>
            </w:hyperlink>
          </w:p>
        </w:tc>
        <w:tc>
          <w:tcPr>
            <w:tcW w:w="0" w:type="auto"/>
            <w:vAlign w:val="center"/>
            <w:hideMark/>
          </w:tcPr>
          <w:p w:rsidR="00973190" w:rsidRPr="003D6817" w:rsidRDefault="00973190">
            <w:pPr>
              <w:jc w:val="right"/>
              <w:rPr>
                <w:sz w:val="18"/>
                <w:szCs w:val="18"/>
              </w:rPr>
            </w:pPr>
            <w:r w:rsidRPr="003D6817">
              <w:rPr>
                <w:sz w:val="18"/>
                <w:szCs w:val="18"/>
              </w:rPr>
              <w:t>13.0</w:t>
            </w:r>
          </w:p>
        </w:tc>
      </w:tr>
      <w:tr w:rsidR="00973190" w:rsidRPr="003D6817" w:rsidTr="00973190">
        <w:trPr>
          <w:tblCellSpacing w:w="7" w:type="dxa"/>
        </w:trPr>
        <w:tc>
          <w:tcPr>
            <w:tcW w:w="0" w:type="auto"/>
            <w:vAlign w:val="center"/>
            <w:hideMark/>
          </w:tcPr>
          <w:p w:rsidR="00973190" w:rsidRPr="003D6817" w:rsidRDefault="00973190">
            <w:pPr>
              <w:rPr>
                <w:sz w:val="18"/>
                <w:szCs w:val="18"/>
              </w:rPr>
            </w:pPr>
            <w:r w:rsidRPr="003D6817">
              <w:rPr>
                <w:sz w:val="18"/>
                <w:szCs w:val="18"/>
              </w:rPr>
              <w:t>4</w:t>
            </w:r>
          </w:p>
        </w:tc>
        <w:tc>
          <w:tcPr>
            <w:tcW w:w="0" w:type="auto"/>
            <w:vAlign w:val="center"/>
            <w:hideMark/>
          </w:tcPr>
          <w:p w:rsidR="00973190" w:rsidRPr="003D6817" w:rsidRDefault="00383DAC">
            <w:pPr>
              <w:rPr>
                <w:sz w:val="18"/>
                <w:szCs w:val="18"/>
              </w:rPr>
            </w:pPr>
            <w:hyperlink r:id="rId8" w:history="1">
              <w:r w:rsidR="00973190" w:rsidRPr="003D6817">
                <w:rPr>
                  <w:rStyle w:val="Hyperlink"/>
                  <w:sz w:val="18"/>
                  <w:szCs w:val="18"/>
                </w:rPr>
                <w:t>Adam Wainwright</w:t>
              </w:r>
            </w:hyperlink>
          </w:p>
        </w:tc>
        <w:tc>
          <w:tcPr>
            <w:tcW w:w="0" w:type="auto"/>
            <w:vAlign w:val="center"/>
            <w:hideMark/>
          </w:tcPr>
          <w:p w:rsidR="00973190" w:rsidRPr="003D6817" w:rsidRDefault="00973190">
            <w:pPr>
              <w:jc w:val="right"/>
              <w:rPr>
                <w:sz w:val="18"/>
                <w:szCs w:val="18"/>
              </w:rPr>
            </w:pPr>
            <w:r w:rsidRPr="003D6817">
              <w:rPr>
                <w:sz w:val="18"/>
                <w:szCs w:val="18"/>
              </w:rPr>
              <w:t>12.0</w:t>
            </w:r>
          </w:p>
        </w:tc>
      </w:tr>
      <w:tr w:rsidR="00973190" w:rsidRPr="003D6817" w:rsidTr="00973190">
        <w:trPr>
          <w:tblCellSpacing w:w="7" w:type="dxa"/>
        </w:trPr>
        <w:tc>
          <w:tcPr>
            <w:tcW w:w="0" w:type="auto"/>
            <w:vAlign w:val="center"/>
            <w:hideMark/>
          </w:tcPr>
          <w:p w:rsidR="00973190" w:rsidRPr="003D6817" w:rsidRDefault="00973190">
            <w:pPr>
              <w:rPr>
                <w:sz w:val="18"/>
                <w:szCs w:val="18"/>
              </w:rPr>
            </w:pPr>
            <w:r w:rsidRPr="003D6817">
              <w:rPr>
                <w:sz w:val="18"/>
                <w:szCs w:val="18"/>
              </w:rPr>
              <w:t>5</w:t>
            </w:r>
          </w:p>
        </w:tc>
        <w:tc>
          <w:tcPr>
            <w:tcW w:w="0" w:type="auto"/>
            <w:vAlign w:val="center"/>
            <w:hideMark/>
          </w:tcPr>
          <w:p w:rsidR="00973190" w:rsidRPr="003D6817" w:rsidRDefault="00383DAC">
            <w:pPr>
              <w:rPr>
                <w:sz w:val="18"/>
                <w:szCs w:val="18"/>
              </w:rPr>
            </w:pPr>
            <w:hyperlink r:id="rId9" w:history="1">
              <w:r w:rsidR="00973190" w:rsidRPr="003D6817">
                <w:rPr>
                  <w:rStyle w:val="Hyperlink"/>
                  <w:sz w:val="18"/>
                  <w:szCs w:val="18"/>
                </w:rPr>
                <w:t>Jake Westbrook</w:t>
              </w:r>
            </w:hyperlink>
          </w:p>
        </w:tc>
        <w:tc>
          <w:tcPr>
            <w:tcW w:w="0" w:type="auto"/>
            <w:vAlign w:val="center"/>
            <w:hideMark/>
          </w:tcPr>
          <w:p w:rsidR="00973190" w:rsidRPr="003D6817" w:rsidRDefault="00973190">
            <w:pPr>
              <w:jc w:val="right"/>
              <w:rPr>
                <w:sz w:val="18"/>
                <w:szCs w:val="18"/>
              </w:rPr>
            </w:pPr>
            <w:r w:rsidRPr="003D6817">
              <w:rPr>
                <w:sz w:val="18"/>
                <w:szCs w:val="18"/>
              </w:rPr>
              <w:t>8.8</w:t>
            </w:r>
          </w:p>
        </w:tc>
      </w:tr>
      <w:tr w:rsidR="00973190" w:rsidRPr="003D6817" w:rsidTr="00973190">
        <w:trPr>
          <w:tblCellSpacing w:w="7" w:type="dxa"/>
        </w:trPr>
        <w:tc>
          <w:tcPr>
            <w:tcW w:w="0" w:type="auto"/>
            <w:vAlign w:val="center"/>
            <w:hideMark/>
          </w:tcPr>
          <w:p w:rsidR="00973190" w:rsidRPr="003D6817" w:rsidRDefault="00973190">
            <w:pPr>
              <w:rPr>
                <w:sz w:val="18"/>
                <w:szCs w:val="18"/>
              </w:rPr>
            </w:pPr>
            <w:r w:rsidRPr="003D6817">
              <w:rPr>
                <w:sz w:val="18"/>
                <w:szCs w:val="18"/>
              </w:rPr>
              <w:t>6</w:t>
            </w:r>
          </w:p>
        </w:tc>
        <w:tc>
          <w:tcPr>
            <w:tcW w:w="0" w:type="auto"/>
            <w:vAlign w:val="center"/>
            <w:hideMark/>
          </w:tcPr>
          <w:p w:rsidR="00973190" w:rsidRPr="003D6817" w:rsidRDefault="00383DAC">
            <w:pPr>
              <w:rPr>
                <w:sz w:val="18"/>
                <w:szCs w:val="18"/>
              </w:rPr>
            </w:pPr>
            <w:hyperlink r:id="rId10" w:history="1">
              <w:r w:rsidR="00973190" w:rsidRPr="003D6817">
                <w:rPr>
                  <w:rStyle w:val="Hyperlink"/>
                  <w:sz w:val="18"/>
                  <w:szCs w:val="18"/>
                </w:rPr>
                <w:t>Edward Mujica</w:t>
              </w:r>
            </w:hyperlink>
          </w:p>
        </w:tc>
        <w:tc>
          <w:tcPr>
            <w:tcW w:w="0" w:type="auto"/>
            <w:vAlign w:val="center"/>
            <w:hideMark/>
          </w:tcPr>
          <w:p w:rsidR="00973190" w:rsidRPr="003D6817" w:rsidRDefault="00973190">
            <w:pPr>
              <w:jc w:val="right"/>
              <w:rPr>
                <w:sz w:val="18"/>
                <w:szCs w:val="18"/>
              </w:rPr>
            </w:pPr>
            <w:r w:rsidRPr="003D6817">
              <w:rPr>
                <w:sz w:val="18"/>
                <w:szCs w:val="18"/>
              </w:rPr>
              <w:t>3.2</w:t>
            </w:r>
          </w:p>
        </w:tc>
      </w:tr>
      <w:tr w:rsidR="00973190" w:rsidRPr="003D6817" w:rsidTr="00973190">
        <w:trPr>
          <w:tblCellSpacing w:w="7" w:type="dxa"/>
        </w:trPr>
        <w:tc>
          <w:tcPr>
            <w:tcW w:w="0" w:type="auto"/>
            <w:vAlign w:val="center"/>
            <w:hideMark/>
          </w:tcPr>
          <w:p w:rsidR="00973190" w:rsidRPr="003D6817" w:rsidRDefault="00973190">
            <w:pPr>
              <w:rPr>
                <w:sz w:val="18"/>
                <w:szCs w:val="18"/>
              </w:rPr>
            </w:pPr>
            <w:r w:rsidRPr="003D6817">
              <w:rPr>
                <w:sz w:val="18"/>
                <w:szCs w:val="18"/>
              </w:rPr>
              <w:t>7</w:t>
            </w:r>
          </w:p>
        </w:tc>
        <w:tc>
          <w:tcPr>
            <w:tcW w:w="0" w:type="auto"/>
            <w:vAlign w:val="center"/>
            <w:hideMark/>
          </w:tcPr>
          <w:p w:rsidR="00973190" w:rsidRPr="003D6817" w:rsidRDefault="00383DAC">
            <w:pPr>
              <w:rPr>
                <w:sz w:val="18"/>
                <w:szCs w:val="18"/>
              </w:rPr>
            </w:pPr>
            <w:hyperlink r:id="rId11" w:history="1">
              <w:r w:rsidR="00973190" w:rsidRPr="003D6817">
                <w:rPr>
                  <w:rStyle w:val="Hyperlink"/>
                  <w:sz w:val="18"/>
                  <w:szCs w:val="18"/>
                </w:rPr>
                <w:t>David Freese</w:t>
              </w:r>
            </w:hyperlink>
          </w:p>
        </w:tc>
        <w:tc>
          <w:tcPr>
            <w:tcW w:w="0" w:type="auto"/>
            <w:vAlign w:val="center"/>
            <w:hideMark/>
          </w:tcPr>
          <w:p w:rsidR="00973190" w:rsidRPr="003D6817" w:rsidRDefault="00973190">
            <w:pPr>
              <w:jc w:val="right"/>
              <w:rPr>
                <w:sz w:val="18"/>
                <w:szCs w:val="18"/>
              </w:rPr>
            </w:pPr>
            <w:r w:rsidRPr="003D6817">
              <w:rPr>
                <w:sz w:val="18"/>
                <w:szCs w:val="18"/>
              </w:rPr>
              <w:t>3.2</w:t>
            </w:r>
          </w:p>
        </w:tc>
      </w:tr>
      <w:tr w:rsidR="00973190" w:rsidRPr="003D6817" w:rsidTr="00973190">
        <w:trPr>
          <w:tblCellSpacing w:w="7" w:type="dxa"/>
        </w:trPr>
        <w:tc>
          <w:tcPr>
            <w:tcW w:w="0" w:type="auto"/>
            <w:vAlign w:val="center"/>
            <w:hideMark/>
          </w:tcPr>
          <w:p w:rsidR="00973190" w:rsidRPr="003D6817" w:rsidRDefault="00973190">
            <w:pPr>
              <w:rPr>
                <w:sz w:val="18"/>
                <w:szCs w:val="18"/>
              </w:rPr>
            </w:pPr>
            <w:r w:rsidRPr="003D6817">
              <w:rPr>
                <w:sz w:val="18"/>
                <w:szCs w:val="18"/>
              </w:rPr>
              <w:t>8</w:t>
            </w:r>
          </w:p>
        </w:tc>
        <w:tc>
          <w:tcPr>
            <w:tcW w:w="0" w:type="auto"/>
            <w:vAlign w:val="center"/>
            <w:hideMark/>
          </w:tcPr>
          <w:p w:rsidR="00973190" w:rsidRPr="003D6817" w:rsidRDefault="00383DAC">
            <w:pPr>
              <w:rPr>
                <w:sz w:val="18"/>
                <w:szCs w:val="18"/>
              </w:rPr>
            </w:pPr>
            <w:hyperlink r:id="rId12" w:history="1">
              <w:r w:rsidR="00973190" w:rsidRPr="003D6817">
                <w:rPr>
                  <w:rStyle w:val="Hyperlink"/>
                  <w:sz w:val="18"/>
                  <w:szCs w:val="18"/>
                </w:rPr>
                <w:t>Ty Wigginton</w:t>
              </w:r>
            </w:hyperlink>
          </w:p>
        </w:tc>
        <w:tc>
          <w:tcPr>
            <w:tcW w:w="0" w:type="auto"/>
            <w:vAlign w:val="center"/>
            <w:hideMark/>
          </w:tcPr>
          <w:p w:rsidR="00973190" w:rsidRPr="003D6817" w:rsidRDefault="00973190">
            <w:pPr>
              <w:jc w:val="right"/>
              <w:rPr>
                <w:sz w:val="18"/>
                <w:szCs w:val="18"/>
              </w:rPr>
            </w:pPr>
            <w:r w:rsidRPr="003D6817">
              <w:rPr>
                <w:sz w:val="18"/>
                <w:szCs w:val="18"/>
              </w:rPr>
              <w:t>2.5</w:t>
            </w:r>
          </w:p>
        </w:tc>
      </w:tr>
      <w:tr w:rsidR="00973190" w:rsidRPr="003D6817" w:rsidTr="00973190">
        <w:trPr>
          <w:tblCellSpacing w:w="7" w:type="dxa"/>
        </w:trPr>
        <w:tc>
          <w:tcPr>
            <w:tcW w:w="0" w:type="auto"/>
            <w:vAlign w:val="center"/>
            <w:hideMark/>
          </w:tcPr>
          <w:p w:rsidR="00973190" w:rsidRPr="003D6817" w:rsidRDefault="00973190">
            <w:pPr>
              <w:rPr>
                <w:sz w:val="18"/>
                <w:szCs w:val="18"/>
              </w:rPr>
            </w:pPr>
            <w:r w:rsidRPr="003D6817">
              <w:rPr>
                <w:sz w:val="18"/>
                <w:szCs w:val="18"/>
              </w:rPr>
              <w:t>9</w:t>
            </w:r>
          </w:p>
        </w:tc>
        <w:tc>
          <w:tcPr>
            <w:tcW w:w="0" w:type="auto"/>
            <w:vAlign w:val="center"/>
            <w:hideMark/>
          </w:tcPr>
          <w:p w:rsidR="00973190" w:rsidRPr="003D6817" w:rsidRDefault="00383DAC">
            <w:pPr>
              <w:rPr>
                <w:sz w:val="18"/>
                <w:szCs w:val="18"/>
              </w:rPr>
            </w:pPr>
            <w:hyperlink r:id="rId13" w:history="1">
              <w:r w:rsidR="00973190" w:rsidRPr="003D6817">
                <w:rPr>
                  <w:rStyle w:val="Hyperlink"/>
                  <w:sz w:val="18"/>
                  <w:szCs w:val="18"/>
                </w:rPr>
                <w:t>Allen Craig</w:t>
              </w:r>
            </w:hyperlink>
          </w:p>
        </w:tc>
        <w:tc>
          <w:tcPr>
            <w:tcW w:w="0" w:type="auto"/>
            <w:vAlign w:val="center"/>
            <w:hideMark/>
          </w:tcPr>
          <w:p w:rsidR="00973190" w:rsidRPr="003D6817" w:rsidRDefault="00973190">
            <w:pPr>
              <w:jc w:val="right"/>
              <w:rPr>
                <w:sz w:val="18"/>
                <w:szCs w:val="18"/>
              </w:rPr>
            </w:pPr>
            <w:r w:rsidRPr="003D6817">
              <w:rPr>
                <w:sz w:val="18"/>
                <w:szCs w:val="18"/>
              </w:rPr>
              <w:t>1.8</w:t>
            </w:r>
          </w:p>
        </w:tc>
      </w:tr>
      <w:tr w:rsidR="00973190" w:rsidRPr="003D6817" w:rsidTr="00973190">
        <w:trPr>
          <w:tblCellSpacing w:w="7" w:type="dxa"/>
        </w:trPr>
        <w:tc>
          <w:tcPr>
            <w:tcW w:w="0" w:type="auto"/>
            <w:vAlign w:val="center"/>
            <w:hideMark/>
          </w:tcPr>
          <w:p w:rsidR="00973190" w:rsidRPr="003D6817" w:rsidRDefault="00973190">
            <w:pPr>
              <w:rPr>
                <w:sz w:val="18"/>
                <w:szCs w:val="18"/>
              </w:rPr>
            </w:pPr>
            <w:r w:rsidRPr="003D6817">
              <w:rPr>
                <w:sz w:val="18"/>
                <w:szCs w:val="18"/>
              </w:rPr>
              <w:t>10</w:t>
            </w:r>
          </w:p>
        </w:tc>
        <w:tc>
          <w:tcPr>
            <w:tcW w:w="0" w:type="auto"/>
            <w:vAlign w:val="center"/>
            <w:hideMark/>
          </w:tcPr>
          <w:p w:rsidR="00973190" w:rsidRPr="003D6817" w:rsidRDefault="00383DAC">
            <w:pPr>
              <w:rPr>
                <w:sz w:val="18"/>
                <w:szCs w:val="18"/>
              </w:rPr>
            </w:pPr>
            <w:hyperlink r:id="rId14" w:history="1">
              <w:r w:rsidR="00973190" w:rsidRPr="003D6817">
                <w:rPr>
                  <w:rStyle w:val="Hyperlink"/>
                  <w:sz w:val="18"/>
                  <w:szCs w:val="18"/>
                </w:rPr>
                <w:t>Randy Choate</w:t>
              </w:r>
            </w:hyperlink>
          </w:p>
        </w:tc>
        <w:tc>
          <w:tcPr>
            <w:tcW w:w="0" w:type="auto"/>
            <w:vAlign w:val="center"/>
            <w:hideMark/>
          </w:tcPr>
          <w:p w:rsidR="00973190" w:rsidRPr="003D6817" w:rsidRDefault="00973190">
            <w:pPr>
              <w:jc w:val="right"/>
              <w:rPr>
                <w:sz w:val="18"/>
                <w:szCs w:val="18"/>
              </w:rPr>
            </w:pPr>
            <w:r w:rsidRPr="003D6817">
              <w:rPr>
                <w:sz w:val="18"/>
                <w:szCs w:val="18"/>
              </w:rPr>
              <w:t>1.5</w:t>
            </w:r>
          </w:p>
        </w:tc>
      </w:tr>
      <w:tr w:rsidR="00973190" w:rsidRPr="003D6817" w:rsidTr="00973190">
        <w:trPr>
          <w:tblCellSpacing w:w="7" w:type="dxa"/>
        </w:trPr>
        <w:tc>
          <w:tcPr>
            <w:tcW w:w="0" w:type="auto"/>
            <w:vAlign w:val="center"/>
            <w:hideMark/>
          </w:tcPr>
          <w:p w:rsidR="00973190" w:rsidRPr="003D6817" w:rsidRDefault="00973190">
            <w:pPr>
              <w:rPr>
                <w:sz w:val="18"/>
                <w:szCs w:val="18"/>
              </w:rPr>
            </w:pPr>
          </w:p>
        </w:tc>
        <w:tc>
          <w:tcPr>
            <w:tcW w:w="0" w:type="auto"/>
            <w:vAlign w:val="center"/>
            <w:hideMark/>
          </w:tcPr>
          <w:p w:rsidR="00973190" w:rsidRPr="003D6817" w:rsidRDefault="00973190">
            <w:pPr>
              <w:rPr>
                <w:sz w:val="18"/>
                <w:szCs w:val="18"/>
              </w:rPr>
            </w:pPr>
          </w:p>
        </w:tc>
        <w:tc>
          <w:tcPr>
            <w:tcW w:w="0" w:type="auto"/>
            <w:vAlign w:val="center"/>
            <w:hideMark/>
          </w:tcPr>
          <w:p w:rsidR="00973190" w:rsidRPr="003D6817" w:rsidRDefault="00973190">
            <w:pPr>
              <w:jc w:val="right"/>
              <w:rPr>
                <w:sz w:val="18"/>
                <w:szCs w:val="18"/>
              </w:rPr>
            </w:pPr>
          </w:p>
        </w:tc>
      </w:tr>
      <w:tr w:rsidR="00973190" w:rsidRPr="003D6817" w:rsidTr="00973190">
        <w:trPr>
          <w:tblCellSpacing w:w="7" w:type="dxa"/>
        </w:trPr>
        <w:tc>
          <w:tcPr>
            <w:tcW w:w="0" w:type="auto"/>
            <w:vAlign w:val="center"/>
            <w:hideMark/>
          </w:tcPr>
          <w:p w:rsidR="00973190" w:rsidRPr="003D6817" w:rsidRDefault="00973190">
            <w:pPr>
              <w:rPr>
                <w:sz w:val="18"/>
                <w:szCs w:val="18"/>
              </w:rPr>
            </w:pPr>
          </w:p>
        </w:tc>
        <w:tc>
          <w:tcPr>
            <w:tcW w:w="0" w:type="auto"/>
            <w:vAlign w:val="center"/>
            <w:hideMark/>
          </w:tcPr>
          <w:p w:rsidR="00973190" w:rsidRPr="003D6817" w:rsidRDefault="00973190">
            <w:pPr>
              <w:rPr>
                <w:sz w:val="18"/>
                <w:szCs w:val="18"/>
              </w:rPr>
            </w:pPr>
          </w:p>
        </w:tc>
        <w:tc>
          <w:tcPr>
            <w:tcW w:w="0" w:type="auto"/>
            <w:vAlign w:val="center"/>
            <w:hideMark/>
          </w:tcPr>
          <w:p w:rsidR="00973190" w:rsidRPr="003D6817" w:rsidRDefault="00973190">
            <w:pPr>
              <w:jc w:val="right"/>
              <w:rPr>
                <w:sz w:val="18"/>
                <w:szCs w:val="18"/>
              </w:rPr>
            </w:pPr>
          </w:p>
        </w:tc>
      </w:tr>
    </w:tbl>
    <w:p w:rsidR="009E308C" w:rsidRPr="00C87BBF" w:rsidRDefault="00973190">
      <w:pPr>
        <w:rPr>
          <w:i/>
        </w:rPr>
      </w:pPr>
      <w:r w:rsidRPr="00C87BBF">
        <w:rPr>
          <w:i/>
        </w:rPr>
        <w:t xml:space="preserve">Find the mean, median, mode and midrange for the given sample data.  </w:t>
      </w:r>
      <w:r w:rsidR="003D6817" w:rsidRPr="00C87BBF">
        <w:rPr>
          <w:i/>
        </w:rPr>
        <w:t>Does this tell anything about the salaries of all Major League baseball players? Do top 10 lists give insight into larger populations?</w:t>
      </w:r>
    </w:p>
    <w:p w:rsidR="003D6817" w:rsidRDefault="00304AC0">
      <w:r>
        <w:t>To find the mean, add the salaries together and divide by 10. There are ten salaries.  16.3+14.2+13.0+12.0+8</w:t>
      </w:r>
      <w:r w:rsidR="00E801C0">
        <w:t xml:space="preserve">.8+3.2+3.2+2.5+1.8+1.5=76.5/10 </w:t>
      </w:r>
      <w:r>
        <w:t>mean=</w:t>
      </w:r>
      <w:r w:rsidR="009B6BFE">
        <w:t>$7.65 million</w:t>
      </w:r>
    </w:p>
    <w:p w:rsidR="009B6BFE" w:rsidRDefault="009B6BFE">
      <w:r>
        <w:t>To find the median, arrange the values in order of increasing magnitude. Since the number of data values is even, add the two middle values a</w:t>
      </w:r>
      <w:r w:rsidR="00E801C0">
        <w:t xml:space="preserve">nd divide by two. 8.8+3.2=12/2 </w:t>
      </w:r>
      <w:r>
        <w:t>median=$6 million</w:t>
      </w:r>
    </w:p>
    <w:p w:rsidR="009B6BFE" w:rsidRDefault="009B6BFE">
      <w:r>
        <w:t>To find the mode</w:t>
      </w:r>
      <w:r w:rsidR="00C87BBF">
        <w:t>, find the value that occurs with the greatest frequency.  The mode is $3.2 million because that value occurs twice in the data set and all other values only occur once.</w:t>
      </w:r>
    </w:p>
    <w:p w:rsidR="00C87BBF" w:rsidRDefault="00C87BBF">
      <w:r>
        <w:t>To find midrange, add the maximum data value to the minimum data value and</w:t>
      </w:r>
      <w:r w:rsidR="00E801C0">
        <w:t xml:space="preserve"> divide by 2.  16.3+1.5=17.8/2 </w:t>
      </w:r>
      <w:r>
        <w:t>midrange= $8.9 million</w:t>
      </w:r>
    </w:p>
    <w:p w:rsidR="00C87BBF" w:rsidRDefault="00C87BBF">
      <w:r>
        <w:t xml:space="preserve">This is just the highest top ten </w:t>
      </w:r>
      <w:r w:rsidR="00E801C0">
        <w:t xml:space="preserve">salaries </w:t>
      </w:r>
      <w:r>
        <w:t xml:space="preserve">on one team so it is not representative of </w:t>
      </w:r>
      <w:r w:rsidR="00E801C0">
        <w:t>all players in general.  Top ten lists do not give insight to larger populations.</w:t>
      </w:r>
    </w:p>
    <w:p w:rsidR="00276BCC" w:rsidRDefault="005B443C">
      <w:r>
        <w:lastRenderedPageBreak/>
        <w:tab/>
      </w:r>
      <w:r w:rsidR="00276BCC">
        <w:t xml:space="preserve">In </w:t>
      </w:r>
      <w:r w:rsidR="00276BCC" w:rsidRPr="005138C6">
        <w:rPr>
          <w:b/>
        </w:rPr>
        <w:t>Chapter 2</w:t>
      </w:r>
      <w:r w:rsidR="00276BCC">
        <w:t>, visual tools called histograms are introduced and we are asked to find the sample size, class widths, class limits, and variation in order to analyze the shape of the distribution.</w:t>
      </w:r>
    </w:p>
    <w:p w:rsidR="00276BCC" w:rsidRDefault="00276BCC"/>
    <w:p w:rsidR="00276BCC" w:rsidRDefault="00276BCC">
      <w:r>
        <w:t xml:space="preserve">The histogram is taken from </w:t>
      </w:r>
      <w:hyperlink r:id="rId15" w:history="1">
        <w:r w:rsidRPr="001375F3">
          <w:rPr>
            <w:rStyle w:val="Hyperlink"/>
          </w:rPr>
          <w:t>www.analyzemath.com</w:t>
        </w:r>
      </w:hyperlink>
      <w:r>
        <w:t xml:space="preserve"> .</w:t>
      </w:r>
    </w:p>
    <w:p w:rsidR="00276BCC" w:rsidRDefault="00276BCC"/>
    <w:p w:rsidR="00276BCC" w:rsidRDefault="00276BCC">
      <w:r>
        <w:rPr>
          <w:noProof/>
        </w:rPr>
        <w:drawing>
          <wp:inline distT="0" distB="0" distL="0" distR="0">
            <wp:extent cx="5800725" cy="3267075"/>
            <wp:effectExtent l="19050" t="0" r="9525" b="0"/>
            <wp:docPr id="1" name="Picture 1" descr="C:\Users\BRASHERS\stat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SHERS\statpic.PNG"/>
                    <pic:cNvPicPr>
                      <a:picLocks noChangeAspect="1" noChangeArrowheads="1"/>
                    </pic:cNvPicPr>
                  </pic:nvPicPr>
                  <pic:blipFill>
                    <a:blip r:embed="rId16" cstate="print"/>
                    <a:srcRect/>
                    <a:stretch>
                      <a:fillRect/>
                    </a:stretch>
                  </pic:blipFill>
                  <pic:spPr bwMode="auto">
                    <a:xfrm>
                      <a:off x="0" y="0"/>
                      <a:ext cx="5800725" cy="3267075"/>
                    </a:xfrm>
                    <a:prstGeom prst="rect">
                      <a:avLst/>
                    </a:prstGeom>
                    <a:noFill/>
                    <a:ln w="9525">
                      <a:noFill/>
                      <a:miter lim="800000"/>
                      <a:headEnd/>
                      <a:tailEnd/>
                    </a:ln>
                  </pic:spPr>
                </pic:pic>
              </a:graphicData>
            </a:graphic>
          </wp:inline>
        </w:drawing>
      </w:r>
    </w:p>
    <w:p w:rsidR="00431CFE" w:rsidRPr="008520F1" w:rsidRDefault="00276BCC">
      <w:pPr>
        <w:rPr>
          <w:i/>
        </w:rPr>
      </w:pPr>
      <w:r w:rsidRPr="008520F1">
        <w:rPr>
          <w:i/>
        </w:rPr>
        <w:t>How many people are included in this histogram? What is the class width?  What are the lower and upper class limits of the first class? What are the minimum and maximum heights of the people in this histogram? Do the heights appear to be reported or actually measured?</w:t>
      </w:r>
    </w:p>
    <w:p w:rsidR="008520F1" w:rsidRDefault="009E308C">
      <w:r>
        <w:t xml:space="preserve"> </w:t>
      </w:r>
      <w:r w:rsidR="008520F1">
        <w:t>To find the amount of people in the histogram, add up the frequency of each bar. 6+9+7+5+2+1=</w:t>
      </w:r>
    </w:p>
    <w:p w:rsidR="00431CFE" w:rsidRDefault="008520F1">
      <w:r>
        <w:t>30 people.</w:t>
      </w:r>
    </w:p>
    <w:p w:rsidR="008520F1" w:rsidRDefault="008520F1">
      <w:r>
        <w:t>To find the class width, find the difference between two consecutive lower class limits. 149.5-139.5=</w:t>
      </w:r>
    </w:p>
    <w:p w:rsidR="008520F1" w:rsidRDefault="008520F1">
      <w:r>
        <w:t>10 cm</w:t>
      </w:r>
    </w:p>
    <w:p w:rsidR="008520F1" w:rsidRDefault="008520F1">
      <w:r>
        <w:t>To find the lower class limit, find the smallest number that can belong to a class.  In the first class it would be 139.5</w:t>
      </w:r>
      <w:r w:rsidR="00D032E1">
        <w:t xml:space="preserve"> cm</w:t>
      </w:r>
      <w:r>
        <w:t xml:space="preserve">.  </w:t>
      </w:r>
    </w:p>
    <w:p w:rsidR="008520F1" w:rsidRDefault="008520F1">
      <w:r>
        <w:t xml:space="preserve">To find the upper class limit, find the largest number that can belong to a class.  In the first class, it would be </w:t>
      </w:r>
      <w:r w:rsidR="00D032E1">
        <w:t>149.4 cm.</w:t>
      </w:r>
    </w:p>
    <w:p w:rsidR="00D032E1" w:rsidRDefault="00D032E1">
      <w:r>
        <w:t>The minimum height would be the lowest value in the histogram, 139.5 cm.  The maximum height would be the largest value, 199.5 cm.</w:t>
      </w:r>
    </w:p>
    <w:p w:rsidR="00573FDD" w:rsidRDefault="00D032E1">
      <w:r>
        <w:t>The heights</w:t>
      </w:r>
      <w:r w:rsidR="00EC0E92">
        <w:t xml:space="preserve"> appear to be actually measured. </w:t>
      </w:r>
      <w:r w:rsidR="00D81BC0">
        <w:t>There se</w:t>
      </w:r>
      <w:r w:rsidR="00573FDD">
        <w:t>ems to be a normal distribution that is approximately symmetrical.</w:t>
      </w:r>
    </w:p>
    <w:p w:rsidR="005C1390" w:rsidRDefault="005138C6" w:rsidP="0084257A">
      <w:r>
        <w:lastRenderedPageBreak/>
        <w:t xml:space="preserve">The third example is from </w:t>
      </w:r>
      <w:r w:rsidR="007160D8">
        <w:rPr>
          <w:b/>
        </w:rPr>
        <w:t xml:space="preserve">Chapter 5. </w:t>
      </w:r>
      <w:r w:rsidR="007160D8">
        <w:t>This question focuses on binomial distribution. We will find the mean variance, and standard deviation.  More importantly we need to understand a</w:t>
      </w:r>
      <w:r w:rsidR="00B14608">
        <w:t>nd interpret the values found</w:t>
      </w:r>
      <w:r w:rsidR="00D70974">
        <w:t xml:space="preserve"> using the maximum and minimum usual value formula</w:t>
      </w:r>
      <w:r w:rsidR="00B14608">
        <w:t>.</w:t>
      </w:r>
    </w:p>
    <w:p w:rsidR="00B14608" w:rsidRDefault="00B14608" w:rsidP="0084257A"/>
    <w:p w:rsidR="00B14608" w:rsidRPr="0047198F" w:rsidRDefault="00B14608" w:rsidP="0084257A">
      <w:pPr>
        <w:rPr>
          <w:i/>
        </w:rPr>
      </w:pPr>
      <w:r w:rsidRPr="0047198F">
        <w:rPr>
          <w:i/>
        </w:rPr>
        <w:t xml:space="preserve">Julie said that in a box of Fruit Loops, 33% of them are blue.  </w:t>
      </w:r>
      <w:r w:rsidR="0047198F" w:rsidRPr="0047198F">
        <w:rPr>
          <w:i/>
        </w:rPr>
        <w:t>A sample of 100 Fruit Loops is</w:t>
      </w:r>
      <w:r w:rsidRPr="0047198F">
        <w:rPr>
          <w:i/>
        </w:rPr>
        <w:t xml:space="preserve"> randomly selected.  Find the mean and standard deviation for the numbers of blue Fruit Loops in the group of 100. </w:t>
      </w:r>
    </w:p>
    <w:p w:rsidR="0047198F" w:rsidRDefault="0047198F" w:rsidP="0084257A">
      <w:pPr>
        <w:rPr>
          <w:i/>
        </w:rPr>
      </w:pPr>
      <w:r w:rsidRPr="0047198F">
        <w:rPr>
          <w:i/>
        </w:rPr>
        <w:t>In a random sample 18 are blue.  Is this result unusual?  Does it seem that the claimed rate of 33% is wrong?</w:t>
      </w:r>
    </w:p>
    <w:p w:rsidR="0047198F" w:rsidRDefault="0047198F" w:rsidP="0084257A">
      <w:pPr>
        <w:rPr>
          <w:i/>
        </w:rPr>
      </w:pPr>
    </w:p>
    <w:p w:rsidR="00D032E1" w:rsidRDefault="0047198F">
      <w:r>
        <w:t xml:space="preserve">To find the mean multiply 33% and 100 to get the amount of blue Fruit Loops.  0.33x100=33 blue. </w:t>
      </w:r>
    </w:p>
    <w:p w:rsidR="0047198F" w:rsidRDefault="0047198F">
      <w:r>
        <w:t xml:space="preserve">The standard deviation is found by </w:t>
      </w:r>
      <w:r w:rsidR="00951597">
        <w:t xml:space="preserve">finding the square root of </w:t>
      </w:r>
      <w:proofErr w:type="spellStart"/>
      <w:proofErr w:type="gramStart"/>
      <w:r w:rsidR="00951597" w:rsidRPr="00951597">
        <w:rPr>
          <w:i/>
        </w:rPr>
        <w:t>npq</w:t>
      </w:r>
      <w:proofErr w:type="spellEnd"/>
      <w:r w:rsidR="00951597">
        <w:rPr>
          <w:i/>
        </w:rPr>
        <w:t xml:space="preserve">  </w:t>
      </w:r>
      <w:r w:rsidR="00951597">
        <w:t>n</w:t>
      </w:r>
      <w:proofErr w:type="gramEnd"/>
      <w:r w:rsidR="00951597">
        <w:t xml:space="preserve">=the number of values in the sample which would be 100. p=the percent of Fruit Loops that are said to be blue or 0.33. q=the probability of 1-p or 1-0.33 which is 0.67.  So, the standard deviation is the square root </w:t>
      </w:r>
      <w:proofErr w:type="gramStart"/>
      <w:r w:rsidR="00951597">
        <w:t>of  100x0.33x0.67</w:t>
      </w:r>
      <w:proofErr w:type="gramEnd"/>
      <w:r w:rsidR="00951597">
        <w:t xml:space="preserve"> or 3.49.</w:t>
      </w:r>
    </w:p>
    <w:p w:rsidR="00951597" w:rsidRDefault="00951597">
      <w:r>
        <w:t xml:space="preserve">To find if the result of 18 is unusual, use the maximum and minimum usual value formula. </w:t>
      </w:r>
      <w:r w:rsidR="00270D7E">
        <w:t>The maximum usual value is mean + (2</w:t>
      </w:r>
      <w:proofErr w:type="gramStart"/>
      <w:r w:rsidR="00270D7E">
        <w:t>)standard</w:t>
      </w:r>
      <w:proofErr w:type="gramEnd"/>
      <w:r w:rsidR="00270D7E">
        <w:t xml:space="preserve"> deviation or 33+ (2)3.49=39.98.</w:t>
      </w:r>
    </w:p>
    <w:p w:rsidR="00270D7E" w:rsidRDefault="00270D7E">
      <w:r>
        <w:t>The minimum usual value is mean- (2</w:t>
      </w:r>
      <w:proofErr w:type="gramStart"/>
      <w:r>
        <w:t>)standard</w:t>
      </w:r>
      <w:proofErr w:type="gramEnd"/>
      <w:r>
        <w:t xml:space="preserve"> deviation or 33-2(3.49)=26.02.</w:t>
      </w:r>
    </w:p>
    <w:p w:rsidR="00270D7E" w:rsidRPr="00951597" w:rsidRDefault="00270D7E">
      <w:r>
        <w:t xml:space="preserve">18 is unusual because it does not fall in between the minimum and maximum value. It appears that the claimed rate of 33% is wrong. </w:t>
      </w:r>
    </w:p>
    <w:sectPr w:rsidR="00270D7E" w:rsidRPr="00951597" w:rsidSect="00304AC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C7"/>
    <w:rsid w:val="00024ED8"/>
    <w:rsid w:val="001B1D5F"/>
    <w:rsid w:val="00270D7E"/>
    <w:rsid w:val="00276BCC"/>
    <w:rsid w:val="002F62F6"/>
    <w:rsid w:val="00304AC0"/>
    <w:rsid w:val="00383DAC"/>
    <w:rsid w:val="003D6817"/>
    <w:rsid w:val="00431CFE"/>
    <w:rsid w:val="0047198F"/>
    <w:rsid w:val="005138C6"/>
    <w:rsid w:val="00573FDD"/>
    <w:rsid w:val="005B443C"/>
    <w:rsid w:val="005C1390"/>
    <w:rsid w:val="006A7A9A"/>
    <w:rsid w:val="007160D8"/>
    <w:rsid w:val="0084257A"/>
    <w:rsid w:val="008520F1"/>
    <w:rsid w:val="008B483A"/>
    <w:rsid w:val="0090770D"/>
    <w:rsid w:val="00951597"/>
    <w:rsid w:val="00973190"/>
    <w:rsid w:val="009A01C7"/>
    <w:rsid w:val="009B6BFE"/>
    <w:rsid w:val="009E308C"/>
    <w:rsid w:val="00B14608"/>
    <w:rsid w:val="00B2430C"/>
    <w:rsid w:val="00C87BBF"/>
    <w:rsid w:val="00D032E1"/>
    <w:rsid w:val="00D70974"/>
    <w:rsid w:val="00D81BC0"/>
    <w:rsid w:val="00E801C0"/>
    <w:rsid w:val="00E95526"/>
    <w:rsid w:val="00EC0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C5F05-FF78-47A6-A02F-E5AD2BAF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3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08C"/>
    <w:rPr>
      <w:color w:val="0000FF" w:themeColor="hyperlink"/>
      <w:u w:val="single"/>
    </w:rPr>
  </w:style>
  <w:style w:type="paragraph" w:styleId="BalloonText">
    <w:name w:val="Balloon Text"/>
    <w:basedOn w:val="Normal"/>
    <w:link w:val="BalloonTextChar"/>
    <w:uiPriority w:val="99"/>
    <w:semiHidden/>
    <w:unhideWhenUsed/>
    <w:rsid w:val="00276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762855">
      <w:bodyDiv w:val="1"/>
      <w:marLeft w:val="0"/>
      <w:marRight w:val="0"/>
      <w:marTop w:val="0"/>
      <w:marBottom w:val="0"/>
      <w:divBdr>
        <w:top w:val="none" w:sz="0" w:space="0" w:color="auto"/>
        <w:left w:val="none" w:sz="0" w:space="0" w:color="auto"/>
        <w:bottom w:val="none" w:sz="0" w:space="0" w:color="auto"/>
        <w:right w:val="none" w:sz="0" w:space="0" w:color="auto"/>
      </w:divBdr>
      <w:divsChild>
        <w:div w:id="822509398">
          <w:marLeft w:val="0"/>
          <w:marRight w:val="0"/>
          <w:marTop w:val="0"/>
          <w:marBottom w:val="0"/>
          <w:divBdr>
            <w:top w:val="none" w:sz="0" w:space="0" w:color="auto"/>
            <w:left w:val="none" w:sz="0" w:space="0" w:color="auto"/>
            <w:bottom w:val="none" w:sz="0" w:space="0" w:color="auto"/>
            <w:right w:val="none" w:sz="0" w:space="0" w:color="auto"/>
          </w:divBdr>
          <w:divsChild>
            <w:div w:id="387454488">
              <w:marLeft w:val="0"/>
              <w:marRight w:val="0"/>
              <w:marTop w:val="0"/>
              <w:marBottom w:val="0"/>
              <w:divBdr>
                <w:top w:val="none" w:sz="0" w:space="0" w:color="auto"/>
                <w:left w:val="none" w:sz="0" w:space="0" w:color="auto"/>
                <w:bottom w:val="none" w:sz="0" w:space="0" w:color="auto"/>
                <w:right w:val="none" w:sz="0" w:space="0" w:color="auto"/>
              </w:divBdr>
              <w:divsChild>
                <w:div w:id="498353251">
                  <w:marLeft w:val="0"/>
                  <w:marRight w:val="0"/>
                  <w:marTop w:val="0"/>
                  <w:marBottom w:val="0"/>
                  <w:divBdr>
                    <w:top w:val="none" w:sz="0" w:space="0" w:color="auto"/>
                    <w:left w:val="none" w:sz="0" w:space="0" w:color="auto"/>
                    <w:bottom w:val="none" w:sz="0" w:space="0" w:color="auto"/>
                    <w:right w:val="none" w:sz="0" w:space="0" w:color="auto"/>
                  </w:divBdr>
                  <w:divsChild>
                    <w:div w:id="1821268459">
                      <w:marLeft w:val="0"/>
                      <w:marRight w:val="0"/>
                      <w:marTop w:val="0"/>
                      <w:marBottom w:val="0"/>
                      <w:divBdr>
                        <w:top w:val="none" w:sz="0" w:space="0" w:color="auto"/>
                        <w:left w:val="none" w:sz="0" w:space="0" w:color="auto"/>
                        <w:bottom w:val="none" w:sz="0" w:space="0" w:color="auto"/>
                        <w:right w:val="none" w:sz="0" w:space="0" w:color="auto"/>
                      </w:divBdr>
                      <w:divsChild>
                        <w:div w:id="2049835311">
                          <w:marLeft w:val="0"/>
                          <w:marRight w:val="0"/>
                          <w:marTop w:val="0"/>
                          <w:marBottom w:val="0"/>
                          <w:divBdr>
                            <w:top w:val="none" w:sz="0" w:space="0" w:color="auto"/>
                            <w:left w:val="none" w:sz="0" w:space="0" w:color="auto"/>
                            <w:bottom w:val="none" w:sz="0" w:space="0" w:color="auto"/>
                            <w:right w:val="none" w:sz="0" w:space="0" w:color="auto"/>
                          </w:divBdr>
                          <w:divsChild>
                            <w:div w:id="1462378551">
                              <w:marLeft w:val="0"/>
                              <w:marRight w:val="0"/>
                              <w:marTop w:val="0"/>
                              <w:marBottom w:val="0"/>
                              <w:divBdr>
                                <w:top w:val="none" w:sz="0" w:space="0" w:color="auto"/>
                                <w:left w:val="none" w:sz="0" w:space="0" w:color="auto"/>
                                <w:bottom w:val="none" w:sz="0" w:space="0" w:color="auto"/>
                                <w:right w:val="none" w:sz="0" w:space="0" w:color="auto"/>
                              </w:divBdr>
                              <w:divsChild>
                                <w:div w:id="353502260">
                                  <w:marLeft w:val="0"/>
                                  <w:marRight w:val="0"/>
                                  <w:marTop w:val="0"/>
                                  <w:marBottom w:val="0"/>
                                  <w:divBdr>
                                    <w:top w:val="none" w:sz="0" w:space="0" w:color="auto"/>
                                    <w:left w:val="none" w:sz="0" w:space="0" w:color="auto"/>
                                    <w:bottom w:val="none" w:sz="0" w:space="0" w:color="auto"/>
                                    <w:right w:val="none" w:sz="0" w:space="0" w:color="auto"/>
                                  </w:divBdr>
                                  <w:divsChild>
                                    <w:div w:id="1094788459">
                                      <w:marLeft w:val="0"/>
                                      <w:marRight w:val="0"/>
                                      <w:marTop w:val="0"/>
                                      <w:marBottom w:val="0"/>
                                      <w:divBdr>
                                        <w:top w:val="none" w:sz="0" w:space="0" w:color="auto"/>
                                        <w:left w:val="none" w:sz="0" w:space="0" w:color="auto"/>
                                        <w:bottom w:val="none" w:sz="0" w:space="0" w:color="auto"/>
                                        <w:right w:val="none" w:sz="0" w:space="0" w:color="auto"/>
                                      </w:divBdr>
                                      <w:divsChild>
                                        <w:div w:id="1544906911">
                                          <w:marLeft w:val="0"/>
                                          <w:marRight w:val="0"/>
                                          <w:marTop w:val="0"/>
                                          <w:marBottom w:val="0"/>
                                          <w:divBdr>
                                            <w:top w:val="none" w:sz="0" w:space="0" w:color="auto"/>
                                            <w:left w:val="none" w:sz="0" w:space="0" w:color="auto"/>
                                            <w:bottom w:val="none" w:sz="0" w:space="0" w:color="auto"/>
                                            <w:right w:val="none" w:sz="0" w:space="0" w:color="auto"/>
                                          </w:divBdr>
                                          <w:divsChild>
                                            <w:div w:id="20587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4425111">
      <w:bodyDiv w:val="1"/>
      <w:marLeft w:val="0"/>
      <w:marRight w:val="0"/>
      <w:marTop w:val="0"/>
      <w:marBottom w:val="0"/>
      <w:divBdr>
        <w:top w:val="none" w:sz="0" w:space="0" w:color="auto"/>
        <w:left w:val="none" w:sz="0" w:space="0" w:color="auto"/>
        <w:bottom w:val="none" w:sz="0" w:space="0" w:color="auto"/>
        <w:right w:val="none" w:sz="0" w:space="0" w:color="auto"/>
      </w:divBdr>
      <w:divsChild>
        <w:div w:id="393628758">
          <w:marLeft w:val="0"/>
          <w:marRight w:val="0"/>
          <w:marTop w:val="0"/>
          <w:marBottom w:val="0"/>
          <w:divBdr>
            <w:top w:val="none" w:sz="0" w:space="0" w:color="auto"/>
            <w:left w:val="none" w:sz="0" w:space="0" w:color="auto"/>
            <w:bottom w:val="none" w:sz="0" w:space="0" w:color="auto"/>
            <w:right w:val="none" w:sz="0" w:space="0" w:color="auto"/>
          </w:divBdr>
          <w:divsChild>
            <w:div w:id="1150830364">
              <w:marLeft w:val="0"/>
              <w:marRight w:val="0"/>
              <w:marTop w:val="0"/>
              <w:marBottom w:val="0"/>
              <w:divBdr>
                <w:top w:val="none" w:sz="0" w:space="0" w:color="auto"/>
                <w:left w:val="none" w:sz="0" w:space="0" w:color="auto"/>
                <w:bottom w:val="none" w:sz="0" w:space="0" w:color="auto"/>
                <w:right w:val="none" w:sz="0" w:space="0" w:color="auto"/>
              </w:divBdr>
              <w:divsChild>
                <w:div w:id="1714386247">
                  <w:marLeft w:val="0"/>
                  <w:marRight w:val="0"/>
                  <w:marTop w:val="0"/>
                  <w:marBottom w:val="0"/>
                  <w:divBdr>
                    <w:top w:val="none" w:sz="0" w:space="0" w:color="auto"/>
                    <w:left w:val="none" w:sz="0" w:space="0" w:color="auto"/>
                    <w:bottom w:val="none" w:sz="0" w:space="0" w:color="auto"/>
                    <w:right w:val="none" w:sz="0" w:space="0" w:color="auto"/>
                  </w:divBdr>
                  <w:divsChild>
                    <w:div w:id="444887878">
                      <w:marLeft w:val="0"/>
                      <w:marRight w:val="0"/>
                      <w:marTop w:val="0"/>
                      <w:marBottom w:val="0"/>
                      <w:divBdr>
                        <w:top w:val="none" w:sz="0" w:space="0" w:color="auto"/>
                        <w:left w:val="none" w:sz="0" w:space="0" w:color="auto"/>
                        <w:bottom w:val="none" w:sz="0" w:space="0" w:color="auto"/>
                        <w:right w:val="none" w:sz="0" w:space="0" w:color="auto"/>
                      </w:divBdr>
                      <w:divsChild>
                        <w:div w:id="2144879635">
                          <w:marLeft w:val="0"/>
                          <w:marRight w:val="0"/>
                          <w:marTop w:val="0"/>
                          <w:marBottom w:val="0"/>
                          <w:divBdr>
                            <w:top w:val="none" w:sz="0" w:space="0" w:color="auto"/>
                            <w:left w:val="none" w:sz="0" w:space="0" w:color="auto"/>
                            <w:bottom w:val="none" w:sz="0" w:space="0" w:color="auto"/>
                            <w:right w:val="none" w:sz="0" w:space="0" w:color="auto"/>
                          </w:divBdr>
                          <w:divsChild>
                            <w:div w:id="2007855716">
                              <w:marLeft w:val="0"/>
                              <w:marRight w:val="0"/>
                              <w:marTop w:val="0"/>
                              <w:marBottom w:val="0"/>
                              <w:divBdr>
                                <w:top w:val="none" w:sz="0" w:space="0" w:color="auto"/>
                                <w:left w:val="none" w:sz="0" w:space="0" w:color="auto"/>
                                <w:bottom w:val="none" w:sz="0" w:space="0" w:color="auto"/>
                                <w:right w:val="none" w:sz="0" w:space="0" w:color="auto"/>
                              </w:divBdr>
                              <w:divsChild>
                                <w:div w:id="538906665">
                                  <w:marLeft w:val="0"/>
                                  <w:marRight w:val="0"/>
                                  <w:marTop w:val="0"/>
                                  <w:marBottom w:val="0"/>
                                  <w:divBdr>
                                    <w:top w:val="none" w:sz="0" w:space="0" w:color="auto"/>
                                    <w:left w:val="none" w:sz="0" w:space="0" w:color="auto"/>
                                    <w:bottom w:val="none" w:sz="0" w:space="0" w:color="auto"/>
                                    <w:right w:val="none" w:sz="0" w:space="0" w:color="auto"/>
                                  </w:divBdr>
                                  <w:divsChild>
                                    <w:div w:id="482434779">
                                      <w:marLeft w:val="0"/>
                                      <w:marRight w:val="0"/>
                                      <w:marTop w:val="0"/>
                                      <w:marBottom w:val="0"/>
                                      <w:divBdr>
                                        <w:top w:val="none" w:sz="0" w:space="0" w:color="auto"/>
                                        <w:left w:val="none" w:sz="0" w:space="0" w:color="auto"/>
                                        <w:bottom w:val="none" w:sz="0" w:space="0" w:color="auto"/>
                                        <w:right w:val="none" w:sz="0" w:space="0" w:color="auto"/>
                                      </w:divBdr>
                                      <w:divsChild>
                                        <w:div w:id="1655644823">
                                          <w:marLeft w:val="0"/>
                                          <w:marRight w:val="0"/>
                                          <w:marTop w:val="0"/>
                                          <w:marBottom w:val="0"/>
                                          <w:divBdr>
                                            <w:top w:val="none" w:sz="0" w:space="0" w:color="auto"/>
                                            <w:left w:val="none" w:sz="0" w:space="0" w:color="auto"/>
                                            <w:bottom w:val="none" w:sz="0" w:space="0" w:color="auto"/>
                                            <w:right w:val="none" w:sz="0" w:space="0" w:color="auto"/>
                                          </w:divBdr>
                                          <w:divsChild>
                                            <w:div w:id="17654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463213">
      <w:bodyDiv w:val="1"/>
      <w:marLeft w:val="0"/>
      <w:marRight w:val="0"/>
      <w:marTop w:val="0"/>
      <w:marBottom w:val="0"/>
      <w:divBdr>
        <w:top w:val="none" w:sz="0" w:space="0" w:color="auto"/>
        <w:left w:val="none" w:sz="0" w:space="0" w:color="auto"/>
        <w:bottom w:val="none" w:sz="0" w:space="0" w:color="auto"/>
        <w:right w:val="none" w:sz="0" w:space="0" w:color="auto"/>
      </w:divBdr>
      <w:divsChild>
        <w:div w:id="1933472765">
          <w:marLeft w:val="0"/>
          <w:marRight w:val="0"/>
          <w:marTop w:val="0"/>
          <w:marBottom w:val="0"/>
          <w:divBdr>
            <w:top w:val="none" w:sz="0" w:space="0" w:color="auto"/>
            <w:left w:val="none" w:sz="0" w:space="0" w:color="auto"/>
            <w:bottom w:val="none" w:sz="0" w:space="0" w:color="auto"/>
            <w:right w:val="none" w:sz="0" w:space="0" w:color="auto"/>
          </w:divBdr>
          <w:divsChild>
            <w:div w:id="1194685721">
              <w:marLeft w:val="0"/>
              <w:marRight w:val="0"/>
              <w:marTop w:val="0"/>
              <w:marBottom w:val="0"/>
              <w:divBdr>
                <w:top w:val="none" w:sz="0" w:space="0" w:color="auto"/>
                <w:left w:val="none" w:sz="0" w:space="0" w:color="auto"/>
                <w:bottom w:val="none" w:sz="0" w:space="0" w:color="auto"/>
                <w:right w:val="none" w:sz="0" w:space="0" w:color="auto"/>
              </w:divBdr>
              <w:divsChild>
                <w:div w:id="1658874766">
                  <w:marLeft w:val="0"/>
                  <w:marRight w:val="0"/>
                  <w:marTop w:val="0"/>
                  <w:marBottom w:val="0"/>
                  <w:divBdr>
                    <w:top w:val="none" w:sz="0" w:space="0" w:color="auto"/>
                    <w:left w:val="none" w:sz="0" w:space="0" w:color="auto"/>
                    <w:bottom w:val="none" w:sz="0" w:space="0" w:color="auto"/>
                    <w:right w:val="none" w:sz="0" w:space="0" w:color="auto"/>
                  </w:divBdr>
                  <w:divsChild>
                    <w:div w:id="1603105102">
                      <w:marLeft w:val="0"/>
                      <w:marRight w:val="0"/>
                      <w:marTop w:val="0"/>
                      <w:marBottom w:val="0"/>
                      <w:divBdr>
                        <w:top w:val="none" w:sz="0" w:space="0" w:color="auto"/>
                        <w:left w:val="none" w:sz="0" w:space="0" w:color="auto"/>
                        <w:bottom w:val="none" w:sz="0" w:space="0" w:color="auto"/>
                        <w:right w:val="none" w:sz="0" w:space="0" w:color="auto"/>
                      </w:divBdr>
                      <w:divsChild>
                        <w:div w:id="1346786766">
                          <w:marLeft w:val="0"/>
                          <w:marRight w:val="0"/>
                          <w:marTop w:val="0"/>
                          <w:marBottom w:val="0"/>
                          <w:divBdr>
                            <w:top w:val="none" w:sz="0" w:space="0" w:color="auto"/>
                            <w:left w:val="none" w:sz="0" w:space="0" w:color="auto"/>
                            <w:bottom w:val="none" w:sz="0" w:space="0" w:color="auto"/>
                            <w:right w:val="none" w:sz="0" w:space="0" w:color="auto"/>
                          </w:divBdr>
                          <w:divsChild>
                            <w:div w:id="955211137">
                              <w:marLeft w:val="0"/>
                              <w:marRight w:val="0"/>
                              <w:marTop w:val="0"/>
                              <w:marBottom w:val="0"/>
                              <w:divBdr>
                                <w:top w:val="none" w:sz="0" w:space="0" w:color="auto"/>
                                <w:left w:val="none" w:sz="0" w:space="0" w:color="auto"/>
                                <w:bottom w:val="none" w:sz="0" w:space="0" w:color="auto"/>
                                <w:right w:val="none" w:sz="0" w:space="0" w:color="auto"/>
                              </w:divBdr>
                              <w:divsChild>
                                <w:div w:id="1645887704">
                                  <w:marLeft w:val="0"/>
                                  <w:marRight w:val="0"/>
                                  <w:marTop w:val="0"/>
                                  <w:marBottom w:val="0"/>
                                  <w:divBdr>
                                    <w:top w:val="none" w:sz="0" w:space="0" w:color="auto"/>
                                    <w:left w:val="none" w:sz="0" w:space="0" w:color="auto"/>
                                    <w:bottom w:val="none" w:sz="0" w:space="0" w:color="auto"/>
                                    <w:right w:val="none" w:sz="0" w:space="0" w:color="auto"/>
                                  </w:divBdr>
                                  <w:divsChild>
                                    <w:div w:id="742794832">
                                      <w:marLeft w:val="0"/>
                                      <w:marRight w:val="0"/>
                                      <w:marTop w:val="0"/>
                                      <w:marBottom w:val="0"/>
                                      <w:divBdr>
                                        <w:top w:val="none" w:sz="0" w:space="0" w:color="auto"/>
                                        <w:left w:val="none" w:sz="0" w:space="0" w:color="auto"/>
                                        <w:bottom w:val="none" w:sz="0" w:space="0" w:color="auto"/>
                                        <w:right w:val="none" w:sz="0" w:space="0" w:color="auto"/>
                                      </w:divBdr>
                                      <w:divsChild>
                                        <w:div w:id="1279485099">
                                          <w:marLeft w:val="0"/>
                                          <w:marRight w:val="0"/>
                                          <w:marTop w:val="0"/>
                                          <w:marBottom w:val="0"/>
                                          <w:divBdr>
                                            <w:top w:val="none" w:sz="0" w:space="0" w:color="auto"/>
                                            <w:left w:val="none" w:sz="0" w:space="0" w:color="auto"/>
                                            <w:bottom w:val="none" w:sz="0" w:space="0" w:color="auto"/>
                                            <w:right w:val="none" w:sz="0" w:space="0" w:color="auto"/>
                                          </w:divBdr>
                                          <w:divsChild>
                                            <w:div w:id="19479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pn.go.com/mlb/player/_/id/5403/adam-wainwright" TargetMode="External"/><Relationship Id="rId13" Type="http://schemas.openxmlformats.org/officeDocument/2006/relationships/hyperlink" Target="http://espn.go.com/mlb/player/_/id/30399/allen-crai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spn.go.com/mlb/player/_/id/3971/carlos-beltran" TargetMode="External"/><Relationship Id="rId12" Type="http://schemas.openxmlformats.org/officeDocument/2006/relationships/hyperlink" Target="http://espn.go.com/mlb/player/_/id/5176/ty-wigginto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http://espn.go.com/mlb/player/_/id/5986/yadier-molina" TargetMode="External"/><Relationship Id="rId11" Type="http://schemas.openxmlformats.org/officeDocument/2006/relationships/hyperlink" Target="http://espn.go.com/mlb/player/_/id/29694/david-freese" TargetMode="External"/><Relationship Id="rId5" Type="http://schemas.openxmlformats.org/officeDocument/2006/relationships/hyperlink" Target="http://espn.go.com/mlb/player/_/id/5940/matt-holliday" TargetMode="External"/><Relationship Id="rId15" Type="http://schemas.openxmlformats.org/officeDocument/2006/relationships/hyperlink" Target="http://www.analyzemath.com" TargetMode="External"/><Relationship Id="rId10" Type="http://schemas.openxmlformats.org/officeDocument/2006/relationships/hyperlink" Target="http://espn.go.com/mlb/player/_/id/28501/edward-mujica" TargetMode="External"/><Relationship Id="rId4" Type="http://schemas.openxmlformats.org/officeDocument/2006/relationships/hyperlink" Target="http://espn.go.com/mlb/team/salaries/_/name/stl/st-louis-cardinals" TargetMode="External"/><Relationship Id="rId9" Type="http://schemas.openxmlformats.org/officeDocument/2006/relationships/hyperlink" Target="http://espn.go.com/mlb/player/_/id/4422/jake-westbrook" TargetMode="External"/><Relationship Id="rId14" Type="http://schemas.openxmlformats.org/officeDocument/2006/relationships/hyperlink" Target="http://espn.go.com/mlb/player/_/id/4440/randy-cho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Branson Public Schools</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2014-03-11T15:41:00Z</dcterms:created>
  <dcterms:modified xsi:type="dcterms:W3CDTF">2014-03-11T15:41:00Z</dcterms:modified>
</cp:coreProperties>
</file>